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2F" w:rsidRDefault="007F352F" w:rsidP="007F352F">
      <w:pPr>
        <w:spacing w:line="276" w:lineRule="auto"/>
        <w:rPr>
          <w:rStyle w:val="Firstpagetablebold"/>
        </w:rPr>
      </w:pPr>
      <w:r>
        <w:rPr>
          <w:rStyle w:val="Firstpagetablebold"/>
        </w:rPr>
        <w:t>Oxford City Council 25 November 2019</w:t>
      </w:r>
    </w:p>
    <w:p w:rsidR="007F352F" w:rsidRDefault="007F352F" w:rsidP="007F352F">
      <w:pPr>
        <w:spacing w:line="276" w:lineRule="auto"/>
        <w:rPr>
          <w:lang w:val="en"/>
        </w:rPr>
      </w:pPr>
      <w:r>
        <w:rPr>
          <w:rStyle w:val="Firstpagetablebold"/>
        </w:rPr>
        <w:t>Oxfordshire Health and Well-being Board Partnership Report</w:t>
      </w:r>
      <w:r>
        <w:rPr>
          <w:rStyle w:val="Firstpagetablebold"/>
        </w:rPr>
        <w:tab/>
      </w:r>
      <w:r>
        <w:rPr>
          <w:rStyle w:val="Firstpagetablebold"/>
        </w:rPr>
        <w:tab/>
      </w:r>
      <w:r>
        <w:rPr>
          <w:b/>
          <w:lang w:val="en"/>
        </w:rPr>
        <w:t xml:space="preserve">Appendix </w:t>
      </w:r>
      <w:r>
        <w:rPr>
          <w:b/>
          <w:lang w:val="en"/>
        </w:rPr>
        <w:t>1</w:t>
      </w:r>
      <w:r>
        <w:rPr>
          <w:b/>
          <w:lang w:val="en"/>
        </w:rPr>
        <w:t xml:space="preserve"> </w:t>
      </w:r>
    </w:p>
    <w:p w:rsidR="007F352F" w:rsidRDefault="007F352F">
      <w:pPr>
        <w:rPr>
          <w:b/>
        </w:rPr>
      </w:pPr>
    </w:p>
    <w:p w:rsidR="00EF5C19" w:rsidRDefault="0050646A">
      <w:pPr>
        <w:rPr>
          <w:b/>
        </w:rPr>
      </w:pPr>
      <w:r w:rsidRPr="00732BE5">
        <w:rPr>
          <w:b/>
        </w:rPr>
        <w:t xml:space="preserve">Summary </w:t>
      </w:r>
      <w:r w:rsidR="00732BE5" w:rsidRPr="00732BE5">
        <w:rPr>
          <w:b/>
        </w:rPr>
        <w:t xml:space="preserve">of the work of the Health Improvement Partnership Board in </w:t>
      </w:r>
      <w:r w:rsidR="00EF5C19">
        <w:rPr>
          <w:b/>
        </w:rPr>
        <w:t>2018/19</w:t>
      </w:r>
    </w:p>
    <w:p w:rsidR="001F523D" w:rsidRDefault="001F523D">
      <w:pPr>
        <w:rPr>
          <w:b/>
        </w:rPr>
      </w:pPr>
    </w:p>
    <w:tbl>
      <w:tblPr>
        <w:tblStyle w:val="TableGrid"/>
        <w:tblW w:w="0" w:type="auto"/>
        <w:tblInd w:w="0" w:type="dxa"/>
        <w:tblLook w:val="04A0" w:firstRow="1" w:lastRow="0" w:firstColumn="1" w:lastColumn="0" w:noHBand="0" w:noVBand="1"/>
      </w:tblPr>
      <w:tblGrid>
        <w:gridCol w:w="1668"/>
        <w:gridCol w:w="7796"/>
      </w:tblGrid>
      <w:tr w:rsidR="00EF5C19" w:rsidTr="00AF0CA1">
        <w:tc>
          <w:tcPr>
            <w:tcW w:w="1668" w:type="dxa"/>
            <w:tcBorders>
              <w:top w:val="single" w:sz="4" w:space="0" w:color="auto"/>
              <w:left w:val="single" w:sz="4" w:space="0" w:color="auto"/>
              <w:bottom w:val="single" w:sz="4" w:space="0" w:color="auto"/>
              <w:right w:val="single" w:sz="4" w:space="0" w:color="auto"/>
            </w:tcBorders>
            <w:hideMark/>
          </w:tcPr>
          <w:p w:rsidR="00EF5C19" w:rsidRDefault="001F523D">
            <w:pPr>
              <w:rPr>
                <w:b/>
                <w:lang w:val="en-US"/>
              </w:rPr>
            </w:pPr>
            <w:r>
              <w:rPr>
                <w:b/>
                <w:lang w:val="en-US"/>
              </w:rPr>
              <w:t xml:space="preserve">Agreed </w:t>
            </w:r>
            <w:r w:rsidR="00EF5C19">
              <w:rPr>
                <w:b/>
                <w:lang w:val="en-US"/>
              </w:rPr>
              <w:t>Priorities for 2019-20</w:t>
            </w:r>
          </w:p>
        </w:tc>
        <w:tc>
          <w:tcPr>
            <w:tcW w:w="7796" w:type="dxa"/>
            <w:tcBorders>
              <w:top w:val="single" w:sz="4" w:space="0" w:color="auto"/>
              <w:left w:val="single" w:sz="4" w:space="0" w:color="auto"/>
              <w:bottom w:val="single" w:sz="4" w:space="0" w:color="auto"/>
              <w:right w:val="single" w:sz="4" w:space="0" w:color="auto"/>
            </w:tcBorders>
            <w:hideMark/>
          </w:tcPr>
          <w:p w:rsidR="00EF5C19" w:rsidRDefault="00EF5C19" w:rsidP="00EF5C19">
            <w:pPr>
              <w:pStyle w:val="ListParagraph"/>
              <w:numPr>
                <w:ilvl w:val="0"/>
                <w:numId w:val="4"/>
              </w:numPr>
              <w:rPr>
                <w:b/>
              </w:rPr>
            </w:pPr>
            <w:r>
              <w:rPr>
                <w:b/>
              </w:rPr>
              <w:t>Keeping Yourself Healthy (Prevent)</w:t>
            </w:r>
          </w:p>
          <w:p w:rsidR="00EF5C19" w:rsidRDefault="00EF5C19" w:rsidP="00EF5C19">
            <w:pPr>
              <w:pStyle w:val="ListParagraph"/>
              <w:numPr>
                <w:ilvl w:val="0"/>
                <w:numId w:val="5"/>
              </w:numPr>
            </w:pPr>
            <w:r>
              <w:t>Reduce Physical Inactivity / Promote Physical Activity</w:t>
            </w:r>
          </w:p>
          <w:p w:rsidR="00EF5C19" w:rsidRDefault="00EF5C19" w:rsidP="00EF5C19">
            <w:pPr>
              <w:pStyle w:val="ListParagraph"/>
              <w:numPr>
                <w:ilvl w:val="0"/>
                <w:numId w:val="5"/>
              </w:numPr>
            </w:pPr>
            <w:r>
              <w:t>Enable people to eat healthily</w:t>
            </w:r>
          </w:p>
          <w:p w:rsidR="00EF5C19" w:rsidRDefault="00EF5C19" w:rsidP="00EF5C19">
            <w:pPr>
              <w:pStyle w:val="ListParagraph"/>
              <w:numPr>
                <w:ilvl w:val="0"/>
                <w:numId w:val="6"/>
              </w:numPr>
            </w:pPr>
            <w:r>
              <w:t>Reduce smoking prevalence</w:t>
            </w:r>
          </w:p>
          <w:p w:rsidR="00EF5C19" w:rsidRDefault="00EF5C19" w:rsidP="00EF5C19">
            <w:pPr>
              <w:pStyle w:val="ListParagraph"/>
              <w:numPr>
                <w:ilvl w:val="0"/>
                <w:numId w:val="6"/>
              </w:numPr>
            </w:pPr>
            <w:r>
              <w:t>Promote Mental Wellbeing</w:t>
            </w:r>
          </w:p>
          <w:p w:rsidR="00EF5C19" w:rsidRDefault="00EF5C19" w:rsidP="00EF5C19">
            <w:pPr>
              <w:pStyle w:val="ListParagraph"/>
              <w:numPr>
                <w:ilvl w:val="0"/>
                <w:numId w:val="7"/>
              </w:numPr>
            </w:pPr>
            <w:r>
              <w:t>Tackle wider determinants of health - Housing and homelessness</w:t>
            </w:r>
          </w:p>
          <w:p w:rsidR="00EF5C19" w:rsidRDefault="00EF5C19" w:rsidP="00EF5C19">
            <w:pPr>
              <w:pStyle w:val="ListParagraph"/>
              <w:numPr>
                <w:ilvl w:val="0"/>
                <w:numId w:val="7"/>
              </w:numPr>
            </w:pPr>
            <w:r>
              <w:t>Immunisation</w:t>
            </w:r>
          </w:p>
          <w:p w:rsidR="00EF5C19" w:rsidRDefault="00EF5C19" w:rsidP="00EF5C19">
            <w:pPr>
              <w:pStyle w:val="ListParagraph"/>
              <w:numPr>
                <w:ilvl w:val="0"/>
                <w:numId w:val="4"/>
              </w:numPr>
              <w:rPr>
                <w:b/>
              </w:rPr>
            </w:pPr>
            <w:r>
              <w:rPr>
                <w:b/>
              </w:rPr>
              <w:t>Reducing the impact of ill health</w:t>
            </w:r>
            <w:r>
              <w:rPr>
                <w:rFonts w:cs="Times New Roman"/>
                <w:b/>
                <w:lang w:val="en-US"/>
              </w:rPr>
              <w:t xml:space="preserve"> </w:t>
            </w:r>
            <w:r>
              <w:rPr>
                <w:b/>
              </w:rPr>
              <w:t>(Reduce)</w:t>
            </w:r>
          </w:p>
          <w:p w:rsidR="00EF5C19" w:rsidRDefault="00EF5C19" w:rsidP="00EF5C19">
            <w:pPr>
              <w:pStyle w:val="ListParagraph"/>
              <w:numPr>
                <w:ilvl w:val="0"/>
                <w:numId w:val="7"/>
              </w:numPr>
            </w:pPr>
            <w:r>
              <w:t>Prevent chronic disease though tackling obesity</w:t>
            </w:r>
          </w:p>
          <w:p w:rsidR="00EF5C19" w:rsidRDefault="00EF5C19" w:rsidP="00EF5C19">
            <w:pPr>
              <w:pStyle w:val="ListParagraph"/>
              <w:numPr>
                <w:ilvl w:val="0"/>
                <w:numId w:val="7"/>
              </w:numPr>
            </w:pPr>
            <w:r>
              <w:t>Screening for early awareness of risk</w:t>
            </w:r>
          </w:p>
          <w:p w:rsidR="00EF5C19" w:rsidRDefault="00EF5C19" w:rsidP="00EF5C19">
            <w:pPr>
              <w:pStyle w:val="ListParagraph"/>
              <w:numPr>
                <w:ilvl w:val="0"/>
                <w:numId w:val="8"/>
              </w:numPr>
            </w:pPr>
            <w:r>
              <w:t>Alcohol advice and treatment</w:t>
            </w:r>
          </w:p>
          <w:p w:rsidR="00EF5C19" w:rsidRDefault="00EF5C19" w:rsidP="00EF5C19">
            <w:pPr>
              <w:pStyle w:val="ListParagraph"/>
              <w:numPr>
                <w:ilvl w:val="0"/>
                <w:numId w:val="8"/>
              </w:numPr>
            </w:pPr>
            <w:r>
              <w:t>Community Safety impact on health outcomes</w:t>
            </w:r>
          </w:p>
          <w:p w:rsidR="00EF5C19" w:rsidRDefault="00EF5C19" w:rsidP="00EF5C19">
            <w:pPr>
              <w:pStyle w:val="ListParagraph"/>
              <w:numPr>
                <w:ilvl w:val="0"/>
                <w:numId w:val="4"/>
              </w:numPr>
              <w:rPr>
                <w:b/>
              </w:rPr>
            </w:pPr>
            <w:r>
              <w:rPr>
                <w:b/>
              </w:rPr>
              <w:t xml:space="preserve"> Shaping Healthy Places and Communities</w:t>
            </w:r>
          </w:p>
          <w:p w:rsidR="00EF5C19" w:rsidRDefault="00EF5C19" w:rsidP="00EF5C19">
            <w:pPr>
              <w:pStyle w:val="ListParagraph"/>
              <w:numPr>
                <w:ilvl w:val="0"/>
                <w:numId w:val="9"/>
              </w:numPr>
            </w:pPr>
            <w:r>
              <w:t xml:space="preserve">Healthy Environment and Housing Development </w:t>
            </w:r>
          </w:p>
          <w:p w:rsidR="00EF5C19" w:rsidRDefault="00EF5C19" w:rsidP="00EF5C19">
            <w:pPr>
              <w:pStyle w:val="ListParagraph"/>
              <w:numPr>
                <w:ilvl w:val="0"/>
                <w:numId w:val="10"/>
              </w:numPr>
            </w:pPr>
            <w:r>
              <w:t>Learn from the Healthy New Towns and influence policy</w:t>
            </w:r>
          </w:p>
          <w:p w:rsidR="00EF5C19" w:rsidRDefault="00EF5C19" w:rsidP="00EF5C19">
            <w:pPr>
              <w:pStyle w:val="ListParagraph"/>
              <w:numPr>
                <w:ilvl w:val="0"/>
                <w:numId w:val="10"/>
              </w:numPr>
            </w:pPr>
            <w:r>
              <w:t>Social Prescribing</w:t>
            </w:r>
          </w:p>
          <w:p w:rsidR="00EF5C19" w:rsidRDefault="00EF5C19" w:rsidP="00EF5C19">
            <w:pPr>
              <w:pStyle w:val="ListParagraph"/>
              <w:numPr>
                <w:ilvl w:val="0"/>
                <w:numId w:val="10"/>
              </w:numPr>
            </w:pPr>
            <w:r>
              <w:t>Making Every Contact Count</w:t>
            </w:r>
          </w:p>
          <w:p w:rsidR="00EF5C19" w:rsidRDefault="00EF5C19" w:rsidP="00EF5C19">
            <w:pPr>
              <w:pStyle w:val="ListParagraph"/>
              <w:numPr>
                <w:ilvl w:val="0"/>
                <w:numId w:val="10"/>
              </w:numPr>
            </w:pPr>
            <w:r>
              <w:t>Campaigns and initiatives to inform the public</w:t>
            </w:r>
          </w:p>
        </w:tc>
      </w:tr>
    </w:tbl>
    <w:p w:rsidR="00EF5C19" w:rsidRDefault="00EF5C19" w:rsidP="00EF5C19">
      <w:pPr>
        <w:rPr>
          <w:lang w:val="en-US"/>
        </w:rPr>
      </w:pPr>
    </w:p>
    <w:p w:rsidR="001F523D" w:rsidRPr="007F352F" w:rsidRDefault="001F523D" w:rsidP="007F352F">
      <w:pPr>
        <w:rPr>
          <w:b/>
          <w:lang w:val="en-US"/>
        </w:rPr>
      </w:pPr>
      <w:r w:rsidRPr="007F352F">
        <w:rPr>
          <w:b/>
          <w:lang w:val="en-US"/>
        </w:rPr>
        <w:t>Progress reports on priority work (priority, aim, deliverable, progress report)</w:t>
      </w:r>
    </w:p>
    <w:p w:rsidR="001F523D" w:rsidRDefault="001F523D" w:rsidP="001F523D">
      <w:pPr>
        <w:rPr>
          <w:b/>
          <w:lang w:val="en-US"/>
        </w:rPr>
      </w:pPr>
    </w:p>
    <w:p w:rsidR="001F523D" w:rsidRDefault="001F523D" w:rsidP="001F523D">
      <w:pPr>
        <w:pStyle w:val="ListParagraph"/>
        <w:numPr>
          <w:ilvl w:val="0"/>
          <w:numId w:val="12"/>
        </w:numPr>
        <w:rPr>
          <w:b/>
          <w:lang w:val="en-US"/>
        </w:rPr>
      </w:pPr>
      <w:r>
        <w:rPr>
          <w:lang w:val="en-US"/>
        </w:rPr>
        <w:t xml:space="preserve"> </w:t>
      </w:r>
      <w:r>
        <w:rPr>
          <w:b/>
          <w:lang w:val="en-US"/>
        </w:rPr>
        <w:t>Housing Support Advisory Group</w:t>
      </w:r>
    </w:p>
    <w:p w:rsidR="007F352F" w:rsidRDefault="007F352F" w:rsidP="007F352F">
      <w:pPr>
        <w:pStyle w:val="ListParagraph"/>
        <w:rPr>
          <w:b/>
          <w:lang w:val="en-US"/>
        </w:rPr>
      </w:pPr>
    </w:p>
    <w:tbl>
      <w:tblPr>
        <w:tblStyle w:val="TableGrid"/>
        <w:tblW w:w="0" w:type="auto"/>
        <w:tblInd w:w="0" w:type="dxa"/>
        <w:tblLook w:val="04A0" w:firstRow="1" w:lastRow="0" w:firstColumn="1" w:lastColumn="0" w:noHBand="0" w:noVBand="1"/>
      </w:tblPr>
      <w:tblGrid>
        <w:gridCol w:w="1680"/>
        <w:gridCol w:w="7834"/>
      </w:tblGrid>
      <w:tr w:rsidR="001F523D" w:rsidTr="00AF0CA1">
        <w:tc>
          <w:tcPr>
            <w:tcW w:w="1680"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t>Priority</w:t>
            </w:r>
          </w:p>
        </w:tc>
        <w:tc>
          <w:tcPr>
            <w:tcW w:w="7834" w:type="dxa"/>
            <w:tcBorders>
              <w:top w:val="single" w:sz="4" w:space="0" w:color="auto"/>
              <w:left w:val="single" w:sz="4" w:space="0" w:color="auto"/>
              <w:bottom w:val="single" w:sz="4" w:space="0" w:color="auto"/>
              <w:right w:val="single" w:sz="4" w:space="0" w:color="auto"/>
            </w:tcBorders>
            <w:hideMark/>
          </w:tcPr>
          <w:p w:rsidR="001F523D" w:rsidRDefault="001F523D">
            <w:pPr>
              <w:rPr>
                <w:lang w:val="en-US"/>
              </w:rPr>
            </w:pPr>
            <w:r>
              <w:rPr>
                <w:lang w:val="en-US"/>
              </w:rPr>
              <w:t>To prevent and reduce the impact of homelessness and rough sleeping</w:t>
            </w:r>
          </w:p>
        </w:tc>
      </w:tr>
      <w:tr w:rsidR="001F523D" w:rsidTr="00AF0CA1">
        <w:tc>
          <w:tcPr>
            <w:tcW w:w="1680"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t>Aim or Focus</w:t>
            </w:r>
          </w:p>
        </w:tc>
        <w:tc>
          <w:tcPr>
            <w:tcW w:w="7834" w:type="dxa"/>
            <w:tcBorders>
              <w:top w:val="single" w:sz="4" w:space="0" w:color="auto"/>
              <w:left w:val="single" w:sz="4" w:space="0" w:color="auto"/>
              <w:bottom w:val="single" w:sz="4" w:space="0" w:color="auto"/>
              <w:right w:val="single" w:sz="4" w:space="0" w:color="auto"/>
            </w:tcBorders>
            <w:hideMark/>
          </w:tcPr>
          <w:p w:rsidR="001F523D" w:rsidRDefault="001F523D">
            <w:pPr>
              <w:rPr>
                <w:lang w:val="en-US"/>
              </w:rPr>
            </w:pPr>
            <w:r>
              <w:rPr>
                <w:lang w:val="en-US"/>
              </w:rPr>
              <w:t>The Housing Support Advisory Group report covered 3 topics</w:t>
            </w:r>
          </w:p>
          <w:p w:rsidR="001F523D" w:rsidRDefault="001F523D" w:rsidP="001F523D">
            <w:pPr>
              <w:pStyle w:val="ListParagraph"/>
              <w:numPr>
                <w:ilvl w:val="0"/>
                <w:numId w:val="13"/>
              </w:numPr>
              <w:rPr>
                <w:lang w:val="en-US"/>
              </w:rPr>
            </w:pPr>
            <w:r>
              <w:rPr>
                <w:lang w:val="en-US"/>
              </w:rPr>
              <w:t xml:space="preserve"> Performance update on preventing homelessness</w:t>
            </w:r>
          </w:p>
          <w:p w:rsidR="001F523D" w:rsidRDefault="001F523D" w:rsidP="001F523D">
            <w:pPr>
              <w:pStyle w:val="ListParagraph"/>
              <w:numPr>
                <w:ilvl w:val="0"/>
                <w:numId w:val="13"/>
              </w:numPr>
              <w:rPr>
                <w:lang w:val="en-US"/>
              </w:rPr>
            </w:pPr>
            <w:r>
              <w:rPr>
                <w:lang w:val="en-US"/>
              </w:rPr>
              <w:t>Process for an independent review of deaths of homeless or recently housed people in 2018-19</w:t>
            </w:r>
          </w:p>
          <w:p w:rsidR="001F523D" w:rsidRDefault="001F523D" w:rsidP="001F523D">
            <w:pPr>
              <w:pStyle w:val="ListParagraph"/>
              <w:numPr>
                <w:ilvl w:val="0"/>
                <w:numId w:val="13"/>
              </w:numPr>
              <w:rPr>
                <w:lang w:val="en-US"/>
              </w:rPr>
            </w:pPr>
            <w:r>
              <w:rPr>
                <w:lang w:val="en-US"/>
              </w:rPr>
              <w:t>Transformation of housing support services</w:t>
            </w:r>
          </w:p>
        </w:tc>
      </w:tr>
      <w:tr w:rsidR="001F523D" w:rsidTr="00AF0CA1">
        <w:tc>
          <w:tcPr>
            <w:tcW w:w="1680"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t>Deliverable</w:t>
            </w:r>
          </w:p>
        </w:tc>
        <w:tc>
          <w:tcPr>
            <w:tcW w:w="7834" w:type="dxa"/>
            <w:tcBorders>
              <w:top w:val="single" w:sz="4" w:space="0" w:color="auto"/>
              <w:left w:val="single" w:sz="4" w:space="0" w:color="auto"/>
              <w:bottom w:val="single" w:sz="4" w:space="0" w:color="auto"/>
              <w:right w:val="single" w:sz="4" w:space="0" w:color="auto"/>
            </w:tcBorders>
            <w:hideMark/>
          </w:tcPr>
          <w:p w:rsidR="001F523D" w:rsidRDefault="001F523D">
            <w:pPr>
              <w:rPr>
                <w:rFonts w:eastAsia="Times New Roman"/>
              </w:rPr>
            </w:pPr>
            <w:r>
              <w:rPr>
                <w:rFonts w:eastAsia="Times New Roman"/>
              </w:rPr>
              <w:t>Partnership work and joint reporting across all local authorities to reduce and prevent homelessness</w:t>
            </w:r>
          </w:p>
        </w:tc>
      </w:tr>
      <w:tr w:rsidR="001F523D" w:rsidTr="00AF0CA1">
        <w:tc>
          <w:tcPr>
            <w:tcW w:w="1680"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t>Progress report</w:t>
            </w:r>
          </w:p>
        </w:tc>
        <w:tc>
          <w:tcPr>
            <w:tcW w:w="7834" w:type="dxa"/>
            <w:tcBorders>
              <w:top w:val="single" w:sz="4" w:space="0" w:color="auto"/>
              <w:left w:val="single" w:sz="4" w:space="0" w:color="auto"/>
              <w:bottom w:val="single" w:sz="4" w:space="0" w:color="auto"/>
              <w:right w:val="single" w:sz="4" w:space="0" w:color="auto"/>
            </w:tcBorders>
          </w:tcPr>
          <w:p w:rsidR="001F523D" w:rsidRDefault="001F523D">
            <w:pPr>
              <w:rPr>
                <w:rFonts w:eastAsia="Times New Roman"/>
              </w:rPr>
            </w:pPr>
            <w:r>
              <w:rPr>
                <w:rFonts w:eastAsia="Times New Roman"/>
              </w:rPr>
              <w:t xml:space="preserve">The full report can be seen here:  </w:t>
            </w:r>
            <w:hyperlink r:id="rId6" w:history="1">
              <w:r>
                <w:rPr>
                  <w:rStyle w:val="Hyperlink"/>
                  <w:rFonts w:eastAsia="Times New Roman"/>
                </w:rPr>
                <w:t>https://mycouncil.oxfordshire.gov.uk/documents/s48339/Item%209%20-%20HSAG%20Health%20Improvement%20Report%20030919.pdf</w:t>
              </w:r>
            </w:hyperlink>
            <w:r>
              <w:rPr>
                <w:rFonts w:eastAsia="Times New Roman"/>
              </w:rPr>
              <w:t xml:space="preserve"> </w:t>
            </w:r>
          </w:p>
          <w:p w:rsidR="001F523D" w:rsidRDefault="001F523D">
            <w:pPr>
              <w:rPr>
                <w:rFonts w:eastAsia="Times New Roman"/>
              </w:rPr>
            </w:pPr>
          </w:p>
          <w:p w:rsidR="001F523D" w:rsidRDefault="001F523D">
            <w:pPr>
              <w:rPr>
                <w:rFonts w:eastAsia="Times New Roman"/>
              </w:rPr>
            </w:pPr>
            <w:r>
              <w:rPr>
                <w:rFonts w:eastAsia="Times New Roman"/>
              </w:rPr>
              <w:t>The performance report highlighted the following:</w:t>
            </w:r>
          </w:p>
          <w:p w:rsidR="001F523D" w:rsidRDefault="001F523D"/>
          <w:p w:rsidR="001F523D" w:rsidRPr="007F352F" w:rsidRDefault="001F523D" w:rsidP="001F523D">
            <w:pPr>
              <w:pStyle w:val="ListParagraph"/>
              <w:numPr>
                <w:ilvl w:val="0"/>
                <w:numId w:val="14"/>
              </w:numPr>
              <w:rPr>
                <w:sz w:val="28"/>
              </w:rPr>
            </w:pPr>
            <w:r w:rsidRPr="007F352F">
              <w:rPr>
                <w:szCs w:val="22"/>
              </w:rPr>
              <w:t>Between Q1 and Q4 there has been a reduction in the number of households in temporary accommodation from 195 to 141</w:t>
            </w:r>
          </w:p>
          <w:p w:rsidR="001F523D" w:rsidRPr="007F352F" w:rsidRDefault="001F523D" w:rsidP="001F523D">
            <w:pPr>
              <w:pStyle w:val="ListParagraph"/>
              <w:numPr>
                <w:ilvl w:val="0"/>
                <w:numId w:val="14"/>
              </w:numPr>
              <w:rPr>
                <w:sz w:val="28"/>
              </w:rPr>
            </w:pPr>
            <w:r w:rsidRPr="007F352F">
              <w:rPr>
                <w:szCs w:val="22"/>
              </w:rPr>
              <w:t>In total there were 1,246 prevention duties undertaken across the County in 2018-19.  This would involve activities to enable an applicant to stay in their current home or find alternative accommodation in order to prevent them becoming homeless.</w:t>
            </w:r>
          </w:p>
          <w:p w:rsidR="001F523D" w:rsidRPr="007F352F" w:rsidRDefault="001F523D" w:rsidP="001F523D">
            <w:pPr>
              <w:pStyle w:val="ListParagraph"/>
              <w:numPr>
                <w:ilvl w:val="0"/>
                <w:numId w:val="14"/>
              </w:numPr>
              <w:rPr>
                <w:sz w:val="28"/>
              </w:rPr>
            </w:pPr>
            <w:r w:rsidRPr="007F352F">
              <w:rPr>
                <w:szCs w:val="22"/>
              </w:rPr>
              <w:lastRenderedPageBreak/>
              <w:t>In total there have were 630 relief duties provided across Oxfordshire in 2018-19. This is almost exactly half the number of households benefitting from a prevention duty.</w:t>
            </w:r>
          </w:p>
          <w:p w:rsidR="001F523D" w:rsidRPr="007F352F" w:rsidRDefault="001F523D" w:rsidP="007F352F">
            <w:pPr>
              <w:pStyle w:val="ListParagraph"/>
              <w:numPr>
                <w:ilvl w:val="0"/>
                <w:numId w:val="14"/>
              </w:numPr>
              <w:rPr>
                <w:sz w:val="28"/>
              </w:rPr>
            </w:pPr>
            <w:r w:rsidRPr="007F352F">
              <w:rPr>
                <w:szCs w:val="22"/>
              </w:rPr>
              <w:t>Rough sleeping numbers reported are higher than last year and therefore the indicator is rated RED.  See below</w:t>
            </w:r>
          </w:p>
          <w:p w:rsidR="007F352F" w:rsidRPr="007F352F" w:rsidRDefault="007F352F" w:rsidP="007F352F">
            <w:pPr>
              <w:pStyle w:val="ListParagraph"/>
              <w:rPr>
                <w:sz w:val="28"/>
              </w:rPr>
            </w:pPr>
          </w:p>
          <w:p w:rsidR="001F523D" w:rsidRDefault="001F523D">
            <w:r>
              <w:t>In addition it was noted that the independent review of deaths of people in the homeless pathway is scheduled to report in February 2020.</w:t>
            </w:r>
          </w:p>
          <w:p w:rsidR="00AF0CA1" w:rsidRDefault="00AF0CA1"/>
        </w:tc>
      </w:tr>
    </w:tbl>
    <w:p w:rsidR="001F523D" w:rsidRDefault="001F523D" w:rsidP="001F523D">
      <w:pPr>
        <w:rPr>
          <w:lang w:val="en-US"/>
        </w:rPr>
      </w:pPr>
      <w:bookmarkStart w:id="0" w:name="_GoBack"/>
      <w:bookmarkEnd w:id="0"/>
    </w:p>
    <w:p w:rsidR="001F523D" w:rsidRDefault="001F523D" w:rsidP="001F523D">
      <w:pPr>
        <w:pStyle w:val="ListParagraph"/>
        <w:numPr>
          <w:ilvl w:val="0"/>
          <w:numId w:val="12"/>
        </w:numPr>
        <w:rPr>
          <w:b/>
          <w:lang w:val="en-US"/>
        </w:rPr>
      </w:pPr>
      <w:r>
        <w:rPr>
          <w:b/>
          <w:lang w:val="en-US"/>
        </w:rPr>
        <w:t>Affordable Warmth Network annual report</w:t>
      </w:r>
    </w:p>
    <w:p w:rsidR="007F352F" w:rsidRDefault="007F352F" w:rsidP="007F352F">
      <w:pPr>
        <w:pStyle w:val="ListParagraph"/>
        <w:rPr>
          <w:b/>
          <w:lang w:val="en-US"/>
        </w:rPr>
      </w:pPr>
    </w:p>
    <w:tbl>
      <w:tblPr>
        <w:tblStyle w:val="TableGrid"/>
        <w:tblW w:w="0" w:type="auto"/>
        <w:tblInd w:w="-318" w:type="dxa"/>
        <w:tblLayout w:type="fixed"/>
        <w:tblLook w:val="04A0" w:firstRow="1" w:lastRow="0" w:firstColumn="1" w:lastColumn="0" w:noHBand="0" w:noVBand="1"/>
      </w:tblPr>
      <w:tblGrid>
        <w:gridCol w:w="1419"/>
        <w:gridCol w:w="8413"/>
      </w:tblGrid>
      <w:tr w:rsidR="001F523D" w:rsidTr="00AF0CA1">
        <w:tc>
          <w:tcPr>
            <w:tcW w:w="1419"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t>Priority</w:t>
            </w:r>
          </w:p>
        </w:tc>
        <w:tc>
          <w:tcPr>
            <w:tcW w:w="8413" w:type="dxa"/>
            <w:tcBorders>
              <w:top w:val="single" w:sz="4" w:space="0" w:color="auto"/>
              <w:left w:val="single" w:sz="4" w:space="0" w:color="auto"/>
              <w:bottom w:val="single" w:sz="4" w:space="0" w:color="auto"/>
              <w:right w:val="single" w:sz="4" w:space="0" w:color="auto"/>
            </w:tcBorders>
            <w:hideMark/>
          </w:tcPr>
          <w:p w:rsidR="001F523D" w:rsidRDefault="001F523D">
            <w:pPr>
              <w:rPr>
                <w:lang w:val="en-US"/>
              </w:rPr>
            </w:pPr>
            <w:r>
              <w:rPr>
                <w:lang w:val="en-US"/>
              </w:rPr>
              <w:t>To tackle the wider determinants of health by reducing fuel poverty, especially for those for whom cold homes will exacerbate existing health conditions.</w:t>
            </w:r>
          </w:p>
          <w:p w:rsidR="00AF0CA1" w:rsidRDefault="00AF0CA1">
            <w:pPr>
              <w:rPr>
                <w:lang w:val="en-US"/>
              </w:rPr>
            </w:pPr>
          </w:p>
        </w:tc>
      </w:tr>
      <w:tr w:rsidR="001F523D" w:rsidTr="00AF0CA1">
        <w:tc>
          <w:tcPr>
            <w:tcW w:w="1419"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t>Aim or Focus</w:t>
            </w:r>
          </w:p>
        </w:tc>
        <w:tc>
          <w:tcPr>
            <w:tcW w:w="8413" w:type="dxa"/>
            <w:tcBorders>
              <w:top w:val="single" w:sz="4" w:space="0" w:color="auto"/>
              <w:left w:val="single" w:sz="4" w:space="0" w:color="auto"/>
              <w:bottom w:val="single" w:sz="4" w:space="0" w:color="auto"/>
              <w:right w:val="single" w:sz="4" w:space="0" w:color="auto"/>
            </w:tcBorders>
          </w:tcPr>
          <w:p w:rsidR="001F523D" w:rsidRDefault="001F523D">
            <w:pPr>
              <w:rPr>
                <w:lang w:val="en-US"/>
              </w:rPr>
            </w:pPr>
            <w:r>
              <w:rPr>
                <w:lang w:val="en-US"/>
              </w:rPr>
              <w:t>The Health Improvement Board agreed the following recommendations:</w:t>
            </w:r>
          </w:p>
          <w:p w:rsidR="001F523D" w:rsidRPr="007F352F" w:rsidRDefault="001F523D" w:rsidP="007F352F">
            <w:pPr>
              <w:pStyle w:val="Default"/>
              <w:numPr>
                <w:ilvl w:val="0"/>
                <w:numId w:val="14"/>
              </w:numPr>
              <w:spacing w:after="37"/>
              <w:rPr>
                <w:szCs w:val="23"/>
              </w:rPr>
            </w:pPr>
            <w:r w:rsidRPr="007F352F">
              <w:rPr>
                <w:szCs w:val="23"/>
              </w:rPr>
              <w:t xml:space="preserve">Continue to champion the role housing plays in protecting and maintaining the health of both young, old and vulnerable and ensures housing has a place in the Health and Wellbeing Strategy. </w:t>
            </w:r>
          </w:p>
          <w:p w:rsidR="001F523D" w:rsidRPr="007F352F" w:rsidRDefault="001F523D" w:rsidP="007F352F">
            <w:pPr>
              <w:pStyle w:val="Default"/>
              <w:numPr>
                <w:ilvl w:val="0"/>
                <w:numId w:val="14"/>
              </w:numPr>
              <w:spacing w:after="37"/>
              <w:rPr>
                <w:szCs w:val="23"/>
              </w:rPr>
            </w:pPr>
            <w:r w:rsidRPr="007F352F">
              <w:rPr>
                <w:szCs w:val="23"/>
              </w:rPr>
              <w:t xml:space="preserve">Request the AWN to report next year on the progress on tackling inequalities, particularly around young families. </w:t>
            </w:r>
          </w:p>
          <w:p w:rsidR="001F523D" w:rsidRPr="007F352F" w:rsidRDefault="001F523D" w:rsidP="007F352F">
            <w:pPr>
              <w:pStyle w:val="Default"/>
              <w:numPr>
                <w:ilvl w:val="0"/>
                <w:numId w:val="14"/>
              </w:numPr>
              <w:rPr>
                <w:szCs w:val="23"/>
              </w:rPr>
            </w:pPr>
            <w:r w:rsidRPr="007F352F">
              <w:rPr>
                <w:szCs w:val="23"/>
              </w:rPr>
              <w:t xml:space="preserve">Challenge clinical and health and social care partners to explore opportunities to work more closely with the AWN, with success being demonstrated by an increase in referrals from health and social care practitioners to the BHBH service. </w:t>
            </w:r>
          </w:p>
          <w:p w:rsidR="001F523D" w:rsidRDefault="001F523D">
            <w:pPr>
              <w:rPr>
                <w:lang w:val="en-US"/>
              </w:rPr>
            </w:pPr>
          </w:p>
        </w:tc>
      </w:tr>
      <w:tr w:rsidR="001F523D" w:rsidTr="00AF0CA1">
        <w:tc>
          <w:tcPr>
            <w:tcW w:w="1419"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t>Deliverable</w:t>
            </w:r>
          </w:p>
        </w:tc>
        <w:tc>
          <w:tcPr>
            <w:tcW w:w="8413" w:type="dxa"/>
            <w:tcBorders>
              <w:top w:val="single" w:sz="4" w:space="0" w:color="auto"/>
              <w:left w:val="single" w:sz="4" w:space="0" w:color="auto"/>
              <w:bottom w:val="single" w:sz="4" w:space="0" w:color="auto"/>
              <w:right w:val="single" w:sz="4" w:space="0" w:color="auto"/>
            </w:tcBorders>
            <w:hideMark/>
          </w:tcPr>
          <w:p w:rsidR="001F523D" w:rsidRDefault="001F523D">
            <w:r w:rsidRPr="00AF0CA1">
              <w:t xml:space="preserve">To deliver the Better Housing Better Health </w:t>
            </w:r>
            <w:proofErr w:type="spellStart"/>
            <w:r w:rsidRPr="00AF0CA1">
              <w:t>freephone</w:t>
            </w:r>
            <w:proofErr w:type="spellEnd"/>
            <w:r w:rsidRPr="00AF0CA1">
              <w:t xml:space="preserve"> advice line, helping residents to access services to tackle fuel poverty.  Also to raise awareness and embed referral pathways with key health and social care partners</w:t>
            </w:r>
          </w:p>
          <w:p w:rsidR="00AF0CA1" w:rsidRPr="00AF0CA1" w:rsidRDefault="00AF0CA1">
            <w:pPr>
              <w:rPr>
                <w:rFonts w:eastAsia="Times New Roman"/>
              </w:rPr>
            </w:pPr>
          </w:p>
        </w:tc>
      </w:tr>
      <w:tr w:rsidR="001F523D" w:rsidTr="00AF0CA1">
        <w:tc>
          <w:tcPr>
            <w:tcW w:w="1419"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t>Progress report</w:t>
            </w:r>
          </w:p>
        </w:tc>
        <w:tc>
          <w:tcPr>
            <w:tcW w:w="8413" w:type="dxa"/>
            <w:tcBorders>
              <w:top w:val="single" w:sz="4" w:space="0" w:color="auto"/>
              <w:left w:val="single" w:sz="4" w:space="0" w:color="auto"/>
              <w:bottom w:val="single" w:sz="4" w:space="0" w:color="auto"/>
              <w:right w:val="single" w:sz="4" w:space="0" w:color="auto"/>
            </w:tcBorders>
            <w:hideMark/>
          </w:tcPr>
          <w:p w:rsidR="001F523D" w:rsidRDefault="001F523D">
            <w:r>
              <w:rPr>
                <w:noProof/>
                <w:lang w:eastAsia="en-GB"/>
              </w:rPr>
              <w:drawing>
                <wp:inline distT="0" distB="0" distL="0" distR="0" wp14:anchorId="0AEC1CA0" wp14:editId="1F12D5B5">
                  <wp:extent cx="3495675" cy="2305050"/>
                  <wp:effectExtent l="0" t="0" r="9525" b="0"/>
                  <wp:docPr id="3" name="Picture 3" title="Better Housing and Health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7753" t="14742" r="21468" b="25517"/>
                          <a:stretch>
                            <a:fillRect/>
                          </a:stretch>
                        </pic:blipFill>
                        <pic:spPr bwMode="auto">
                          <a:xfrm>
                            <a:off x="0" y="0"/>
                            <a:ext cx="3495675" cy="2305050"/>
                          </a:xfrm>
                          <a:prstGeom prst="rect">
                            <a:avLst/>
                          </a:prstGeom>
                          <a:noFill/>
                          <a:ln>
                            <a:noFill/>
                          </a:ln>
                        </pic:spPr>
                      </pic:pic>
                    </a:graphicData>
                  </a:graphic>
                </wp:inline>
              </w:drawing>
            </w:r>
          </w:p>
          <w:p w:rsidR="001F523D" w:rsidRDefault="001F523D">
            <w:r>
              <w:rPr>
                <w:lang w:val="en-US"/>
              </w:rPr>
              <w:t xml:space="preserve">The full report can be seen here:  </w:t>
            </w:r>
            <w:hyperlink r:id="rId8" w:history="1">
              <w:r>
                <w:rPr>
                  <w:rStyle w:val="Hyperlink"/>
                  <w:lang w:val="en-US"/>
                </w:rPr>
                <w:t>https://mycouncil.oxfordshire.gov.uk/documents/s48263/Item%2010%20-%20HIB%20Report%20on%20Fuel%20Poverty%20and%20poor%20Housing%20Conditions.pdf</w:t>
              </w:r>
            </w:hyperlink>
          </w:p>
        </w:tc>
      </w:tr>
    </w:tbl>
    <w:p w:rsidR="00AF0CA1" w:rsidRDefault="00AF0CA1" w:rsidP="007F352F">
      <w:pPr>
        <w:rPr>
          <w:b/>
          <w:lang w:val="en-US"/>
        </w:rPr>
      </w:pPr>
    </w:p>
    <w:p w:rsidR="00AF0CA1" w:rsidRPr="007F352F" w:rsidRDefault="00AF0CA1" w:rsidP="007F352F">
      <w:pPr>
        <w:rPr>
          <w:b/>
          <w:lang w:val="en-US"/>
        </w:rPr>
      </w:pPr>
    </w:p>
    <w:p w:rsidR="001F523D" w:rsidRDefault="001F523D" w:rsidP="001F523D">
      <w:pPr>
        <w:pStyle w:val="ListParagraph"/>
        <w:numPr>
          <w:ilvl w:val="0"/>
          <w:numId w:val="12"/>
        </w:numPr>
        <w:rPr>
          <w:b/>
          <w:lang w:val="en-US"/>
        </w:rPr>
      </w:pPr>
      <w:r>
        <w:rPr>
          <w:b/>
          <w:lang w:val="en-US"/>
        </w:rPr>
        <w:lastRenderedPageBreak/>
        <w:t xml:space="preserve">  Whole System Approach to Healthy Weight </w:t>
      </w:r>
    </w:p>
    <w:p w:rsidR="007F352F" w:rsidRDefault="007F352F" w:rsidP="007F352F">
      <w:pPr>
        <w:pStyle w:val="ListParagraph"/>
        <w:ind w:left="360"/>
        <w:rPr>
          <w:b/>
          <w:lang w:val="en-US"/>
        </w:rPr>
      </w:pPr>
    </w:p>
    <w:tbl>
      <w:tblPr>
        <w:tblStyle w:val="TableGrid"/>
        <w:tblW w:w="9209" w:type="dxa"/>
        <w:tblInd w:w="0" w:type="dxa"/>
        <w:tblLook w:val="04A0" w:firstRow="1" w:lastRow="0" w:firstColumn="1" w:lastColumn="0" w:noHBand="0" w:noVBand="1"/>
      </w:tblPr>
      <w:tblGrid>
        <w:gridCol w:w="1497"/>
        <w:gridCol w:w="7967"/>
      </w:tblGrid>
      <w:tr w:rsidR="001F523D">
        <w:tc>
          <w:tcPr>
            <w:tcW w:w="1644"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t>Priority</w:t>
            </w:r>
          </w:p>
        </w:tc>
        <w:tc>
          <w:tcPr>
            <w:tcW w:w="7565" w:type="dxa"/>
            <w:tcBorders>
              <w:top w:val="single" w:sz="4" w:space="0" w:color="auto"/>
              <w:left w:val="single" w:sz="4" w:space="0" w:color="auto"/>
              <w:bottom w:val="single" w:sz="4" w:space="0" w:color="auto"/>
              <w:right w:val="single" w:sz="4" w:space="0" w:color="auto"/>
            </w:tcBorders>
          </w:tcPr>
          <w:p w:rsidR="001F523D" w:rsidRDefault="001F523D">
            <w:pPr>
              <w:rPr>
                <w:lang w:val="en-US"/>
              </w:rPr>
            </w:pPr>
            <w:r>
              <w:rPr>
                <w:lang w:val="en-US"/>
              </w:rPr>
              <w:t xml:space="preserve">To develop a whole systems approach to healthy weight which incorporates environmental factors, food, physical activity and weight management </w:t>
            </w:r>
            <w:proofErr w:type="spellStart"/>
            <w:r>
              <w:rPr>
                <w:lang w:val="en-US"/>
              </w:rPr>
              <w:t>programmes</w:t>
            </w:r>
            <w:proofErr w:type="spellEnd"/>
            <w:r w:rsidR="007F352F">
              <w:rPr>
                <w:lang w:val="en-US"/>
              </w:rPr>
              <w:t>.</w:t>
            </w:r>
          </w:p>
          <w:p w:rsidR="001F523D" w:rsidRDefault="001F523D">
            <w:pPr>
              <w:rPr>
                <w:lang w:val="en-US"/>
              </w:rPr>
            </w:pPr>
          </w:p>
          <w:p w:rsidR="001F523D" w:rsidRDefault="001F523D">
            <w:pPr>
              <w:pStyle w:val="Default"/>
              <w:rPr>
                <w:sz w:val="23"/>
                <w:szCs w:val="23"/>
              </w:rPr>
            </w:pPr>
            <w:r>
              <w:rPr>
                <w:b/>
                <w:bCs/>
                <w:sz w:val="23"/>
                <w:szCs w:val="23"/>
              </w:rPr>
              <w:t xml:space="preserve">Overarching principles to guide this work </w:t>
            </w:r>
          </w:p>
          <w:p w:rsidR="001F523D" w:rsidRPr="007F352F" w:rsidRDefault="001F523D" w:rsidP="007F352F">
            <w:pPr>
              <w:pStyle w:val="Default"/>
              <w:numPr>
                <w:ilvl w:val="0"/>
                <w:numId w:val="14"/>
              </w:numPr>
              <w:spacing w:after="36"/>
              <w:rPr>
                <w:szCs w:val="23"/>
              </w:rPr>
            </w:pPr>
            <w:r w:rsidRPr="007F352F">
              <w:rPr>
                <w:szCs w:val="23"/>
              </w:rPr>
              <w:t xml:space="preserve">There is no single solution to tackle obesity </w:t>
            </w:r>
          </w:p>
          <w:p w:rsidR="001F523D" w:rsidRPr="007F352F" w:rsidRDefault="001F523D" w:rsidP="007F352F">
            <w:pPr>
              <w:pStyle w:val="Default"/>
              <w:numPr>
                <w:ilvl w:val="0"/>
                <w:numId w:val="14"/>
              </w:numPr>
              <w:spacing w:after="36"/>
              <w:rPr>
                <w:szCs w:val="23"/>
              </w:rPr>
            </w:pPr>
            <w:r w:rsidRPr="007F352F">
              <w:rPr>
                <w:szCs w:val="23"/>
              </w:rPr>
              <w:t xml:space="preserve">We need to work collaboratively across traditional sectors and boundaries </w:t>
            </w:r>
          </w:p>
          <w:p w:rsidR="001F523D" w:rsidRPr="007F352F" w:rsidRDefault="001F523D" w:rsidP="007F352F">
            <w:pPr>
              <w:pStyle w:val="Default"/>
              <w:numPr>
                <w:ilvl w:val="0"/>
                <w:numId w:val="14"/>
              </w:numPr>
              <w:spacing w:after="36"/>
              <w:rPr>
                <w:szCs w:val="23"/>
              </w:rPr>
            </w:pPr>
            <w:r w:rsidRPr="007F352F">
              <w:rPr>
                <w:szCs w:val="23"/>
              </w:rPr>
              <w:t xml:space="preserve">Collective and coordinated action is greater and more effective than its parts </w:t>
            </w:r>
          </w:p>
          <w:p w:rsidR="001F523D" w:rsidRPr="007F352F" w:rsidRDefault="001F523D" w:rsidP="007F352F">
            <w:pPr>
              <w:pStyle w:val="Default"/>
              <w:numPr>
                <w:ilvl w:val="0"/>
                <w:numId w:val="14"/>
              </w:numPr>
              <w:spacing w:after="36"/>
              <w:rPr>
                <w:szCs w:val="23"/>
              </w:rPr>
            </w:pPr>
            <w:r w:rsidRPr="007F352F">
              <w:rPr>
                <w:szCs w:val="23"/>
              </w:rPr>
              <w:t xml:space="preserve">We need to gain further </w:t>
            </w:r>
            <w:proofErr w:type="spellStart"/>
            <w:r w:rsidRPr="007F352F">
              <w:rPr>
                <w:szCs w:val="23"/>
              </w:rPr>
              <w:t>insght</w:t>
            </w:r>
            <w:proofErr w:type="spellEnd"/>
            <w:r w:rsidRPr="007F352F">
              <w:rPr>
                <w:szCs w:val="23"/>
              </w:rPr>
              <w:t xml:space="preserve"> and co-design solutions with our communities </w:t>
            </w:r>
          </w:p>
          <w:p w:rsidR="001F523D" w:rsidRPr="007F352F" w:rsidRDefault="001F523D" w:rsidP="007F352F">
            <w:pPr>
              <w:pStyle w:val="Default"/>
              <w:numPr>
                <w:ilvl w:val="0"/>
                <w:numId w:val="14"/>
              </w:numPr>
              <w:spacing w:after="36"/>
              <w:rPr>
                <w:szCs w:val="23"/>
              </w:rPr>
            </w:pPr>
            <w:r w:rsidRPr="007F352F">
              <w:rPr>
                <w:szCs w:val="23"/>
              </w:rPr>
              <w:t xml:space="preserve">Universal and targeted action is needed to address health </w:t>
            </w:r>
            <w:proofErr w:type="spellStart"/>
            <w:r w:rsidRPr="007F352F">
              <w:rPr>
                <w:szCs w:val="23"/>
              </w:rPr>
              <w:t>inequalites</w:t>
            </w:r>
            <w:proofErr w:type="spellEnd"/>
            <w:r w:rsidRPr="007F352F">
              <w:rPr>
                <w:szCs w:val="23"/>
              </w:rPr>
              <w:t xml:space="preserve"> </w:t>
            </w:r>
          </w:p>
          <w:p w:rsidR="001F523D" w:rsidRPr="007F352F" w:rsidRDefault="001F523D" w:rsidP="007F352F">
            <w:pPr>
              <w:pStyle w:val="Default"/>
              <w:numPr>
                <w:ilvl w:val="0"/>
                <w:numId w:val="14"/>
              </w:numPr>
              <w:rPr>
                <w:szCs w:val="23"/>
              </w:rPr>
            </w:pPr>
            <w:r w:rsidRPr="007F352F">
              <w:rPr>
                <w:szCs w:val="23"/>
              </w:rPr>
              <w:t xml:space="preserve">We all need to be confident talking about weight </w:t>
            </w:r>
          </w:p>
          <w:p w:rsidR="001F523D" w:rsidRDefault="001F523D">
            <w:pPr>
              <w:rPr>
                <w:lang w:val="en-US"/>
              </w:rPr>
            </w:pPr>
          </w:p>
        </w:tc>
      </w:tr>
      <w:tr w:rsidR="001F523D">
        <w:tc>
          <w:tcPr>
            <w:tcW w:w="1644"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t>Aim or Focus</w:t>
            </w:r>
          </w:p>
        </w:tc>
        <w:tc>
          <w:tcPr>
            <w:tcW w:w="7565" w:type="dxa"/>
            <w:tcBorders>
              <w:top w:val="single" w:sz="4" w:space="0" w:color="auto"/>
              <w:left w:val="single" w:sz="4" w:space="0" w:color="auto"/>
              <w:bottom w:val="single" w:sz="4" w:space="0" w:color="auto"/>
              <w:right w:val="single" w:sz="4" w:space="0" w:color="auto"/>
            </w:tcBorders>
          </w:tcPr>
          <w:p w:rsidR="001F523D" w:rsidRDefault="001F523D">
            <w:pPr>
              <w:jc w:val="center"/>
              <w:rPr>
                <w:lang w:val="en-US"/>
              </w:rPr>
            </w:pPr>
            <w:r>
              <w:rPr>
                <w:noProof/>
                <w:lang w:eastAsia="en-GB"/>
              </w:rPr>
              <w:drawing>
                <wp:inline distT="0" distB="0" distL="0" distR="0" wp14:anchorId="480994B8" wp14:editId="329B20F3">
                  <wp:extent cx="3733800" cy="2105025"/>
                  <wp:effectExtent l="0" t="0" r="0" b="9525"/>
                  <wp:docPr id="2" name="Picture 2" title="Healthy weight whole system approa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9" t="32066" r="29375" b="21815"/>
                          <a:stretch>
                            <a:fillRect/>
                          </a:stretch>
                        </pic:blipFill>
                        <pic:spPr bwMode="auto">
                          <a:xfrm>
                            <a:off x="0" y="0"/>
                            <a:ext cx="3733800" cy="2105025"/>
                          </a:xfrm>
                          <a:prstGeom prst="rect">
                            <a:avLst/>
                          </a:prstGeom>
                          <a:noFill/>
                          <a:ln>
                            <a:noFill/>
                          </a:ln>
                        </pic:spPr>
                      </pic:pic>
                    </a:graphicData>
                  </a:graphic>
                </wp:inline>
              </w:drawing>
            </w:r>
          </w:p>
          <w:p w:rsidR="001F523D" w:rsidRDefault="001F523D">
            <w:pPr>
              <w:rPr>
                <w:lang w:val="en-US"/>
              </w:rPr>
            </w:pPr>
          </w:p>
        </w:tc>
      </w:tr>
      <w:tr w:rsidR="001F523D">
        <w:tc>
          <w:tcPr>
            <w:tcW w:w="1644"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lastRenderedPageBreak/>
              <w:t>Deliverable</w:t>
            </w:r>
          </w:p>
        </w:tc>
        <w:tc>
          <w:tcPr>
            <w:tcW w:w="7565" w:type="dxa"/>
            <w:tcBorders>
              <w:top w:val="single" w:sz="4" w:space="0" w:color="auto"/>
              <w:left w:val="single" w:sz="4" w:space="0" w:color="auto"/>
              <w:bottom w:val="single" w:sz="4" w:space="0" w:color="auto"/>
              <w:right w:val="single" w:sz="4" w:space="0" w:color="auto"/>
            </w:tcBorders>
            <w:hideMark/>
          </w:tcPr>
          <w:p w:rsidR="001F523D" w:rsidRDefault="001F523D">
            <w:pPr>
              <w:jc w:val="center"/>
              <w:rPr>
                <w:lang w:val="en-US"/>
              </w:rPr>
            </w:pPr>
            <w:r>
              <w:rPr>
                <w:noProof/>
                <w:lang w:eastAsia="en-GB"/>
              </w:rPr>
              <w:drawing>
                <wp:inline distT="0" distB="0" distL="0" distR="0" wp14:anchorId="044BD669" wp14:editId="6C6D1C3C">
                  <wp:extent cx="4457700" cy="4333875"/>
                  <wp:effectExtent l="0" t="0" r="0" b="9525"/>
                  <wp:docPr id="1" name="Picture 1" title="Healthy weigh initiative deliver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26779" t="10112" r="26740" b="9703"/>
                          <a:stretch>
                            <a:fillRect/>
                          </a:stretch>
                        </pic:blipFill>
                        <pic:spPr bwMode="auto">
                          <a:xfrm>
                            <a:off x="0" y="0"/>
                            <a:ext cx="4457700" cy="4333875"/>
                          </a:xfrm>
                          <a:prstGeom prst="rect">
                            <a:avLst/>
                          </a:prstGeom>
                          <a:noFill/>
                          <a:ln>
                            <a:noFill/>
                          </a:ln>
                        </pic:spPr>
                      </pic:pic>
                    </a:graphicData>
                  </a:graphic>
                </wp:inline>
              </w:drawing>
            </w:r>
          </w:p>
        </w:tc>
      </w:tr>
      <w:tr w:rsidR="001F523D">
        <w:tc>
          <w:tcPr>
            <w:tcW w:w="1644" w:type="dxa"/>
            <w:tcBorders>
              <w:top w:val="single" w:sz="4" w:space="0" w:color="auto"/>
              <w:left w:val="single" w:sz="4" w:space="0" w:color="auto"/>
              <w:bottom w:val="single" w:sz="4" w:space="0" w:color="auto"/>
              <w:right w:val="single" w:sz="4" w:space="0" w:color="auto"/>
            </w:tcBorders>
            <w:hideMark/>
          </w:tcPr>
          <w:p w:rsidR="001F523D" w:rsidRDefault="001F523D">
            <w:pPr>
              <w:rPr>
                <w:b/>
                <w:lang w:val="en-US"/>
              </w:rPr>
            </w:pPr>
            <w:r>
              <w:rPr>
                <w:b/>
                <w:lang w:val="en-US"/>
              </w:rPr>
              <w:t>Progress report</w:t>
            </w:r>
          </w:p>
        </w:tc>
        <w:tc>
          <w:tcPr>
            <w:tcW w:w="7565" w:type="dxa"/>
            <w:tcBorders>
              <w:top w:val="single" w:sz="4" w:space="0" w:color="auto"/>
              <w:left w:val="single" w:sz="4" w:space="0" w:color="auto"/>
              <w:bottom w:val="single" w:sz="4" w:space="0" w:color="auto"/>
              <w:right w:val="single" w:sz="4" w:space="0" w:color="auto"/>
            </w:tcBorders>
          </w:tcPr>
          <w:p w:rsidR="001F523D" w:rsidRDefault="001F523D">
            <w:pPr>
              <w:pStyle w:val="Default"/>
            </w:pPr>
            <w:r>
              <w:t xml:space="preserve">Work already completed includes: </w:t>
            </w:r>
          </w:p>
          <w:p w:rsidR="001F523D" w:rsidRPr="007F352F" w:rsidRDefault="001F523D" w:rsidP="001F523D">
            <w:pPr>
              <w:pStyle w:val="Default"/>
              <w:numPr>
                <w:ilvl w:val="0"/>
                <w:numId w:val="15"/>
              </w:numPr>
              <w:ind w:left="360"/>
              <w:rPr>
                <w:szCs w:val="23"/>
              </w:rPr>
            </w:pPr>
            <w:r w:rsidRPr="007F352F">
              <w:rPr>
                <w:szCs w:val="23"/>
              </w:rPr>
              <w:t xml:space="preserve">Engaged with relevant partners to initiate the development of a healthy weight system story map for Oxfordshire for stakeholder engagement and to inform targeted action </w:t>
            </w:r>
          </w:p>
          <w:p w:rsidR="001F523D" w:rsidRPr="007F352F" w:rsidRDefault="001F523D" w:rsidP="001F523D">
            <w:pPr>
              <w:pStyle w:val="Default"/>
              <w:numPr>
                <w:ilvl w:val="0"/>
                <w:numId w:val="15"/>
              </w:numPr>
              <w:spacing w:after="35"/>
              <w:ind w:left="360"/>
              <w:rPr>
                <w:szCs w:val="23"/>
              </w:rPr>
            </w:pPr>
            <w:r w:rsidRPr="007F352F">
              <w:rPr>
                <w:szCs w:val="23"/>
              </w:rPr>
              <w:t xml:space="preserve">Rolled out the Sugar Smart </w:t>
            </w:r>
            <w:proofErr w:type="spellStart"/>
            <w:r w:rsidRPr="007F352F">
              <w:rPr>
                <w:szCs w:val="23"/>
              </w:rPr>
              <w:t>initative</w:t>
            </w:r>
            <w:proofErr w:type="spellEnd"/>
            <w:r w:rsidRPr="007F352F">
              <w:rPr>
                <w:szCs w:val="23"/>
              </w:rPr>
              <w:t xml:space="preserve"> across Oxfordshire </w:t>
            </w:r>
          </w:p>
          <w:p w:rsidR="001F523D" w:rsidRPr="007F352F" w:rsidRDefault="001F523D" w:rsidP="001F523D">
            <w:pPr>
              <w:pStyle w:val="Default"/>
              <w:numPr>
                <w:ilvl w:val="0"/>
                <w:numId w:val="15"/>
              </w:numPr>
              <w:spacing w:after="35"/>
              <w:ind w:left="360"/>
              <w:rPr>
                <w:szCs w:val="23"/>
              </w:rPr>
            </w:pPr>
            <w:r w:rsidRPr="007F352F">
              <w:rPr>
                <w:szCs w:val="23"/>
              </w:rPr>
              <w:t xml:space="preserve">Supported 20 schools to sign up to WOW – the year round walk to school challenge </w:t>
            </w:r>
          </w:p>
          <w:p w:rsidR="001F523D" w:rsidRPr="007F352F" w:rsidRDefault="001F523D" w:rsidP="001F523D">
            <w:pPr>
              <w:pStyle w:val="Default"/>
              <w:numPr>
                <w:ilvl w:val="0"/>
                <w:numId w:val="15"/>
              </w:numPr>
              <w:spacing w:after="35"/>
              <w:ind w:left="360"/>
              <w:rPr>
                <w:szCs w:val="23"/>
              </w:rPr>
            </w:pPr>
            <w:r w:rsidRPr="007F352F">
              <w:rPr>
                <w:szCs w:val="23"/>
              </w:rPr>
              <w:t xml:space="preserve">Extended our adult weight management service contract to August 2020 </w:t>
            </w:r>
          </w:p>
          <w:p w:rsidR="001F523D" w:rsidRPr="00AF0CA1" w:rsidRDefault="001F523D" w:rsidP="00AF0CA1">
            <w:pPr>
              <w:pStyle w:val="Default"/>
              <w:numPr>
                <w:ilvl w:val="0"/>
                <w:numId w:val="15"/>
              </w:numPr>
              <w:ind w:left="360"/>
              <w:rPr>
                <w:szCs w:val="23"/>
              </w:rPr>
            </w:pPr>
            <w:r w:rsidRPr="007F352F">
              <w:rPr>
                <w:szCs w:val="23"/>
              </w:rPr>
              <w:t xml:space="preserve">Completed primary care and client consultations to inform the procurement of future adult and family weight management services </w:t>
            </w:r>
          </w:p>
          <w:p w:rsidR="001F523D" w:rsidRPr="007F352F" w:rsidRDefault="001F523D" w:rsidP="001F523D">
            <w:pPr>
              <w:pStyle w:val="Default"/>
              <w:numPr>
                <w:ilvl w:val="0"/>
                <w:numId w:val="15"/>
              </w:numPr>
              <w:spacing w:after="35"/>
              <w:ind w:left="360"/>
              <w:rPr>
                <w:szCs w:val="23"/>
              </w:rPr>
            </w:pPr>
            <w:r w:rsidRPr="007F352F">
              <w:rPr>
                <w:szCs w:val="23"/>
              </w:rPr>
              <w:t xml:space="preserve">Worked in partnership with Active Oxfordshire to raise awareness of the role of physical activity and healthy weight and ensure joined up working </w:t>
            </w:r>
          </w:p>
          <w:p w:rsidR="001F523D" w:rsidRPr="007F352F" w:rsidRDefault="001F523D" w:rsidP="001F523D">
            <w:pPr>
              <w:pStyle w:val="Default"/>
              <w:numPr>
                <w:ilvl w:val="0"/>
                <w:numId w:val="15"/>
              </w:numPr>
              <w:ind w:left="360"/>
              <w:rPr>
                <w:szCs w:val="23"/>
              </w:rPr>
            </w:pPr>
            <w:r w:rsidRPr="007F352F">
              <w:rPr>
                <w:szCs w:val="23"/>
              </w:rPr>
              <w:t xml:space="preserve">Held the first childhood obesity whole systems workshop with a range of partners to map the current system and gain feedback our proposed approach </w:t>
            </w:r>
          </w:p>
          <w:p w:rsidR="001F523D" w:rsidRDefault="001F523D">
            <w:pPr>
              <w:rPr>
                <w:lang w:val="en-US"/>
              </w:rPr>
            </w:pPr>
          </w:p>
          <w:p w:rsidR="001F523D" w:rsidRDefault="001F523D">
            <w:pPr>
              <w:rPr>
                <w:lang w:val="en-US"/>
              </w:rPr>
            </w:pPr>
            <w:r>
              <w:rPr>
                <w:lang w:val="en-US"/>
              </w:rPr>
              <w:t xml:space="preserve">The full report can be seen here: </w:t>
            </w:r>
            <w:hyperlink r:id="rId11" w:history="1">
              <w:r>
                <w:rPr>
                  <w:rStyle w:val="Hyperlink"/>
                  <w:lang w:val="en-US"/>
                </w:rPr>
                <w:t>https://mycouncil.oxfordshire.gov.uk/documents/s48264/Item%2011%20-%20HIB%20Report_Sep%2019_Healthy%20Weight.pdf</w:t>
              </w:r>
            </w:hyperlink>
            <w:r>
              <w:rPr>
                <w:lang w:val="en-US"/>
              </w:rPr>
              <w:t xml:space="preserve"> </w:t>
            </w:r>
          </w:p>
          <w:p w:rsidR="001F523D" w:rsidRDefault="001F523D">
            <w:pPr>
              <w:rPr>
                <w:lang w:val="en-US"/>
              </w:rPr>
            </w:pPr>
          </w:p>
        </w:tc>
      </w:tr>
    </w:tbl>
    <w:p w:rsidR="000E24D1" w:rsidRPr="007F352F" w:rsidRDefault="000E24D1" w:rsidP="0002258D">
      <w:pPr>
        <w:rPr>
          <w:b/>
        </w:rPr>
      </w:pPr>
    </w:p>
    <w:sectPr w:rsidR="000E24D1" w:rsidRPr="007F352F" w:rsidSect="007F352F">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894"/>
    <w:multiLevelType w:val="hybridMultilevel"/>
    <w:tmpl w:val="2F3EC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DB6651"/>
    <w:multiLevelType w:val="hybridMultilevel"/>
    <w:tmpl w:val="5172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AD337A3"/>
    <w:multiLevelType w:val="hybridMultilevel"/>
    <w:tmpl w:val="59B00DCE"/>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FAF30F7"/>
    <w:multiLevelType w:val="hybridMultilevel"/>
    <w:tmpl w:val="75C69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6C76D52"/>
    <w:multiLevelType w:val="hybridMultilevel"/>
    <w:tmpl w:val="7158B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F73DC"/>
    <w:multiLevelType w:val="hybridMultilevel"/>
    <w:tmpl w:val="B37E9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C876964"/>
    <w:multiLevelType w:val="hybridMultilevel"/>
    <w:tmpl w:val="EAD6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711FF"/>
    <w:multiLevelType w:val="hybridMultilevel"/>
    <w:tmpl w:val="6718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2F23D3D"/>
    <w:multiLevelType w:val="hybridMultilevel"/>
    <w:tmpl w:val="01A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233AEB"/>
    <w:multiLevelType w:val="hybridMultilevel"/>
    <w:tmpl w:val="2C087B9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5B495877"/>
    <w:multiLevelType w:val="hybridMultilevel"/>
    <w:tmpl w:val="1AF0D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DBB0CD6"/>
    <w:multiLevelType w:val="hybridMultilevel"/>
    <w:tmpl w:val="7C2285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5DFA7B76"/>
    <w:multiLevelType w:val="hybridMultilevel"/>
    <w:tmpl w:val="6EA0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2274559"/>
    <w:multiLevelType w:val="hybridMultilevel"/>
    <w:tmpl w:val="327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593C52"/>
    <w:multiLevelType w:val="hybridMultilevel"/>
    <w:tmpl w:val="B972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665B70"/>
    <w:multiLevelType w:val="hybridMultilevel"/>
    <w:tmpl w:val="9844E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1B57256"/>
    <w:multiLevelType w:val="hybridMultilevel"/>
    <w:tmpl w:val="24228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4"/>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5"/>
  </w:num>
  <w:num w:numId="8">
    <w:abstractNumId w:val="1"/>
  </w:num>
  <w:num w:numId="9">
    <w:abstractNumId w:val="1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61"/>
    <w:rsid w:val="0002258D"/>
    <w:rsid w:val="0007422B"/>
    <w:rsid w:val="000B4310"/>
    <w:rsid w:val="000C5D59"/>
    <w:rsid w:val="000E24D1"/>
    <w:rsid w:val="001F523D"/>
    <w:rsid w:val="004000D7"/>
    <w:rsid w:val="00504E43"/>
    <w:rsid w:val="0050646A"/>
    <w:rsid w:val="005B3898"/>
    <w:rsid w:val="005F1B33"/>
    <w:rsid w:val="0063385D"/>
    <w:rsid w:val="00684305"/>
    <w:rsid w:val="00720461"/>
    <w:rsid w:val="00732BE5"/>
    <w:rsid w:val="007908F4"/>
    <w:rsid w:val="007D777E"/>
    <w:rsid w:val="007F352F"/>
    <w:rsid w:val="008E5D6B"/>
    <w:rsid w:val="00A23675"/>
    <w:rsid w:val="00AF0CA1"/>
    <w:rsid w:val="00B55135"/>
    <w:rsid w:val="00C61FB6"/>
    <w:rsid w:val="00C7376E"/>
    <w:rsid w:val="00CF0203"/>
    <w:rsid w:val="00EF5C1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32BE5"/>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F5C19"/>
  </w:style>
  <w:style w:type="table" w:styleId="TableGrid">
    <w:name w:val="Table Grid"/>
    <w:basedOn w:val="TableNormal"/>
    <w:uiPriority w:val="59"/>
    <w:rsid w:val="00EF5C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523D"/>
    <w:rPr>
      <w:color w:val="0000FF" w:themeColor="hyperlink"/>
      <w:u w:val="single"/>
    </w:rPr>
  </w:style>
  <w:style w:type="paragraph" w:customStyle="1" w:styleId="Default">
    <w:name w:val="Default"/>
    <w:rsid w:val="001F523D"/>
    <w:pPr>
      <w:autoSpaceDE w:val="0"/>
      <w:autoSpaceDN w:val="0"/>
      <w:adjustRightInd w:val="0"/>
    </w:pPr>
    <w:rPr>
      <w:color w:val="000000"/>
    </w:rPr>
  </w:style>
  <w:style w:type="paragraph" w:styleId="BalloonText">
    <w:name w:val="Balloon Text"/>
    <w:basedOn w:val="Normal"/>
    <w:link w:val="BalloonTextChar"/>
    <w:uiPriority w:val="99"/>
    <w:semiHidden/>
    <w:unhideWhenUsed/>
    <w:rsid w:val="001F523D"/>
    <w:rPr>
      <w:rFonts w:ascii="Tahoma" w:hAnsi="Tahoma" w:cs="Tahoma"/>
      <w:sz w:val="16"/>
      <w:szCs w:val="16"/>
    </w:rPr>
  </w:style>
  <w:style w:type="character" w:customStyle="1" w:styleId="BalloonTextChar">
    <w:name w:val="Balloon Text Char"/>
    <w:basedOn w:val="DefaultParagraphFont"/>
    <w:link w:val="BalloonText"/>
    <w:uiPriority w:val="99"/>
    <w:semiHidden/>
    <w:rsid w:val="001F523D"/>
    <w:rPr>
      <w:rFonts w:ascii="Tahoma" w:hAnsi="Tahoma" w:cs="Tahoma"/>
      <w:sz w:val="16"/>
      <w:szCs w:val="16"/>
    </w:rPr>
  </w:style>
  <w:style w:type="character" w:customStyle="1" w:styleId="Firstpagetablebold">
    <w:name w:val="First page table: bold"/>
    <w:qFormat/>
    <w:rsid w:val="007F352F"/>
    <w:rPr>
      <w:rFonts w:ascii="Arial" w:hAnsi="Arial" w:cs="Arial"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32BE5"/>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F5C19"/>
  </w:style>
  <w:style w:type="table" w:styleId="TableGrid">
    <w:name w:val="Table Grid"/>
    <w:basedOn w:val="TableNormal"/>
    <w:uiPriority w:val="59"/>
    <w:rsid w:val="00EF5C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523D"/>
    <w:rPr>
      <w:color w:val="0000FF" w:themeColor="hyperlink"/>
      <w:u w:val="single"/>
    </w:rPr>
  </w:style>
  <w:style w:type="paragraph" w:customStyle="1" w:styleId="Default">
    <w:name w:val="Default"/>
    <w:rsid w:val="001F523D"/>
    <w:pPr>
      <w:autoSpaceDE w:val="0"/>
      <w:autoSpaceDN w:val="0"/>
      <w:adjustRightInd w:val="0"/>
    </w:pPr>
    <w:rPr>
      <w:color w:val="000000"/>
    </w:rPr>
  </w:style>
  <w:style w:type="paragraph" w:styleId="BalloonText">
    <w:name w:val="Balloon Text"/>
    <w:basedOn w:val="Normal"/>
    <w:link w:val="BalloonTextChar"/>
    <w:uiPriority w:val="99"/>
    <w:semiHidden/>
    <w:unhideWhenUsed/>
    <w:rsid w:val="001F523D"/>
    <w:rPr>
      <w:rFonts w:ascii="Tahoma" w:hAnsi="Tahoma" w:cs="Tahoma"/>
      <w:sz w:val="16"/>
      <w:szCs w:val="16"/>
    </w:rPr>
  </w:style>
  <w:style w:type="character" w:customStyle="1" w:styleId="BalloonTextChar">
    <w:name w:val="Balloon Text Char"/>
    <w:basedOn w:val="DefaultParagraphFont"/>
    <w:link w:val="BalloonText"/>
    <w:uiPriority w:val="99"/>
    <w:semiHidden/>
    <w:rsid w:val="001F523D"/>
    <w:rPr>
      <w:rFonts w:ascii="Tahoma" w:hAnsi="Tahoma" w:cs="Tahoma"/>
      <w:sz w:val="16"/>
      <w:szCs w:val="16"/>
    </w:rPr>
  </w:style>
  <w:style w:type="character" w:customStyle="1" w:styleId="Firstpagetablebold">
    <w:name w:val="First page table: bold"/>
    <w:qFormat/>
    <w:rsid w:val="007F352F"/>
    <w:rPr>
      <w:rFonts w:ascii="Arial" w:hAnsi="Arial" w:cs="Arial"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shire.gov.uk/documents/s48263/Item%2010%20-%20HIB%20Report%20on%20Fuel%20Poverty%20and%20poor%20Housing%20Condition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uncil.oxfordshire.gov.uk/documents/s48339/Item%209%20-%20HSAG%20Health%20Improvement%20Report%20030919.pdf" TargetMode="External"/><Relationship Id="rId11" Type="http://schemas.openxmlformats.org/officeDocument/2006/relationships/hyperlink" Target="https://mycouncil.oxfordshire.gov.uk/documents/s48264/Item%2011%20-%20HIB%20Report_Sep%2019_Healthy%20Weight.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7F55467E</Template>
  <TotalTime>62</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Helena - Corporate Services</dc:creator>
  <cp:lastModifiedBy>jthompson</cp:lastModifiedBy>
  <cp:revision>4</cp:revision>
  <dcterms:created xsi:type="dcterms:W3CDTF">2019-11-05T14:02:00Z</dcterms:created>
  <dcterms:modified xsi:type="dcterms:W3CDTF">2019-11-13T12:42:00Z</dcterms:modified>
</cp:coreProperties>
</file>